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8E60" w14:textId="61E6D33D" w:rsidR="0094145A" w:rsidRDefault="0094145A" w:rsidP="0094145A">
      <w:pPr>
        <w:spacing w:before="240" w:after="240"/>
        <w:jc w:val="center"/>
        <w:rPr>
          <w:b/>
        </w:rPr>
      </w:pPr>
      <w:r>
        <w:rPr>
          <w:noProof/>
        </w:rPr>
        <w:drawing>
          <wp:inline distT="0" distB="0" distL="0" distR="0" wp14:anchorId="6F42A73F" wp14:editId="6B16FECA">
            <wp:extent cx="919237" cy="1567954"/>
            <wp:effectExtent l="0" t="0" r="0" b="0"/>
            <wp:docPr id="43525508" name="Picture 3" descr="A yellow tre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5508" name="Picture 3" descr="A yellow tree with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67" cy="159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1DE43867" w:rsidR="00D15D8E" w:rsidRDefault="00000000">
      <w:pPr>
        <w:spacing w:before="240" w:after="240"/>
        <w:rPr>
          <w:b/>
        </w:rPr>
      </w:pPr>
      <w:r>
        <w:rPr>
          <w:b/>
        </w:rPr>
        <w:t>Free Democratic Movement Energy and Environmental Policy</w:t>
      </w:r>
    </w:p>
    <w:p w14:paraId="00000002" w14:textId="77777777" w:rsidR="00D15D8E" w:rsidRDefault="00000000">
      <w:pPr>
        <w:spacing w:before="240" w:after="240"/>
      </w:pPr>
      <w:r>
        <w:rPr>
          <w:b/>
        </w:rPr>
        <w:t>Introduction</w:t>
      </w:r>
      <w:r>
        <w:rPr>
          <w:b/>
        </w:rPr>
        <w:br/>
      </w:r>
      <w:r>
        <w:t xml:space="preserve"> The Free Democratic Movement (FDM) is committed to protecting Bermuda’s natural environment while addressing the urgent need for affordable and reliable energy solutions. Our energy and environmental strategy </w:t>
      </w:r>
      <w:proofErr w:type="gramStart"/>
      <w:r>
        <w:t>seeks</w:t>
      </w:r>
      <w:proofErr w:type="gramEnd"/>
      <w:r>
        <w:t xml:space="preserve"> to enhance Bermuda’s sustainability without compromising economic efficiency or overburdening citizens. We advocate for pragmatic and reasonable policies that embody stewardship and empowerment.</w:t>
      </w:r>
    </w:p>
    <w:p w14:paraId="00000003" w14:textId="77777777" w:rsidR="00D15D8E" w:rsidRDefault="00000000">
      <w:pPr>
        <w:spacing w:before="240" w:after="240"/>
      </w:pPr>
      <w:r>
        <w:pict w14:anchorId="25E5E64C">
          <v:rect id="_x0000_i1025" style="width:0;height:1.5pt" o:hralign="center" o:hrstd="t" o:hr="t" fillcolor="#a0a0a0" stroked="f"/>
        </w:pict>
      </w:r>
    </w:p>
    <w:p w14:paraId="00000004" w14:textId="77777777" w:rsidR="00D15D8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ywufqh2u56c3" w:colFirst="0" w:colLast="0"/>
      <w:bookmarkEnd w:id="0"/>
      <w:r>
        <w:rPr>
          <w:b/>
          <w:color w:val="000000"/>
          <w:sz w:val="26"/>
          <w:szCs w:val="26"/>
        </w:rPr>
        <w:t>Energy Policy</w:t>
      </w:r>
    </w:p>
    <w:p w14:paraId="00000005" w14:textId="77777777" w:rsidR="00D15D8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" w:name="_nhcfrqw1tq89" w:colFirst="0" w:colLast="0"/>
      <w:bookmarkEnd w:id="1"/>
      <w:r>
        <w:rPr>
          <w:b/>
          <w:color w:val="000000"/>
          <w:sz w:val="22"/>
          <w:szCs w:val="22"/>
        </w:rPr>
        <w:t>1. Transition to LNG (Liquefied Natural Gas)</w:t>
      </w:r>
    </w:p>
    <w:p w14:paraId="00000006" w14:textId="77777777" w:rsidR="00D15D8E" w:rsidRDefault="00000000">
      <w:pPr>
        <w:spacing w:before="240" w:after="240"/>
      </w:pPr>
      <w:r>
        <w:rPr>
          <w:b/>
        </w:rPr>
        <w:t>Background</w:t>
      </w:r>
      <w:r>
        <w:rPr>
          <w:b/>
        </w:rPr>
        <w:br/>
      </w:r>
      <w:r>
        <w:t xml:space="preserve"> BELCO’s North Power Station was designed for LNG but continues to burn heavy fuel oil, resulting in high emissions and rising electricity costs. Transitioning to LNG offers a cleaner, more reliable, and cost-effective solution for Bermuda.</w:t>
      </w:r>
    </w:p>
    <w:p w14:paraId="00000007" w14:textId="77777777" w:rsidR="00D15D8E" w:rsidRDefault="00000000">
      <w:pPr>
        <w:spacing w:before="240" w:after="240"/>
        <w:rPr>
          <w:b/>
        </w:rPr>
      </w:pPr>
      <w:r>
        <w:rPr>
          <w:b/>
        </w:rPr>
        <w:t>Key Initiatives:</w:t>
      </w:r>
    </w:p>
    <w:p w14:paraId="00000008" w14:textId="77777777" w:rsidR="00D15D8E" w:rsidRDefault="00000000">
      <w:pPr>
        <w:numPr>
          <w:ilvl w:val="0"/>
          <w:numId w:val="9"/>
        </w:numPr>
        <w:spacing w:before="240"/>
      </w:pPr>
      <w:r>
        <w:rPr>
          <w:b/>
        </w:rPr>
        <w:t>Feasibility and Infrastructure:</w:t>
      </w:r>
      <w:r>
        <w:rPr>
          <w:b/>
        </w:rPr>
        <w:br/>
      </w:r>
      <w:r>
        <w:t xml:space="preserve"> LNG, identified as the least costly option in Bermuda’s Integrated Resource Plan (IRP), reduces operational costs and emissions significantly. Two delivery options will be explored:</w:t>
      </w:r>
      <w:r>
        <w:br/>
      </w:r>
    </w:p>
    <w:p w14:paraId="00000009" w14:textId="77777777" w:rsidR="00D15D8E" w:rsidRDefault="00000000">
      <w:pPr>
        <w:numPr>
          <w:ilvl w:val="1"/>
          <w:numId w:val="9"/>
        </w:numPr>
      </w:pPr>
      <w:r>
        <w:rPr>
          <w:b/>
        </w:rPr>
        <w:t>Containerized LNG (ISO Tanks):</w:t>
      </w:r>
      <w:r>
        <w:t xml:space="preserve"> Delivered via container ships and directly transported to BELCO’s North Power Station, using existing port facilities to avoid expensive regasification terminals.</w:t>
      </w:r>
    </w:p>
    <w:p w14:paraId="0000000A" w14:textId="77777777" w:rsidR="00D15D8E" w:rsidRDefault="00000000">
      <w:pPr>
        <w:numPr>
          <w:ilvl w:val="1"/>
          <w:numId w:val="9"/>
        </w:numPr>
      </w:pPr>
      <w:r>
        <w:rPr>
          <w:b/>
        </w:rPr>
        <w:t>Small LNG Carriers:</w:t>
      </w:r>
      <w:r>
        <w:t xml:space="preserve"> These vessels deliver LNG in bulk to a dedicated storage facility, minimizing shipping frequency.</w:t>
      </w:r>
      <w:r>
        <w:br/>
        <w:t xml:space="preserve"> A detailed assessment will determine the most practical and cost-effective option for Bermuda’s needs.</w:t>
      </w:r>
    </w:p>
    <w:p w14:paraId="0000000B" w14:textId="77777777" w:rsidR="00D15D8E" w:rsidRDefault="00000000">
      <w:pPr>
        <w:numPr>
          <w:ilvl w:val="0"/>
          <w:numId w:val="9"/>
        </w:numPr>
      </w:pPr>
      <w:r>
        <w:rPr>
          <w:b/>
        </w:rPr>
        <w:lastRenderedPageBreak/>
        <w:t>Benefits of LNG:</w:t>
      </w:r>
      <w:r>
        <w:rPr>
          <w:b/>
        </w:rPr>
        <w:br/>
      </w:r>
    </w:p>
    <w:p w14:paraId="0000000C" w14:textId="77777777" w:rsidR="00D15D8E" w:rsidRDefault="00000000">
      <w:pPr>
        <w:numPr>
          <w:ilvl w:val="1"/>
          <w:numId w:val="9"/>
        </w:numPr>
      </w:pPr>
      <w:r>
        <w:t>Lower and more stable pricing reduces electricity costs for households and businesses.</w:t>
      </w:r>
    </w:p>
    <w:p w14:paraId="0000000D" w14:textId="77777777" w:rsidR="00D15D8E" w:rsidRDefault="00000000">
      <w:pPr>
        <w:numPr>
          <w:ilvl w:val="1"/>
          <w:numId w:val="9"/>
        </w:numPr>
      </w:pPr>
      <w:r>
        <w:t>Lower emissions improve air quality, particularly benefiting communities near BELCO’s North Power Station.</w:t>
      </w:r>
    </w:p>
    <w:p w14:paraId="0000000E" w14:textId="77777777" w:rsidR="00D15D8E" w:rsidRDefault="00000000">
      <w:pPr>
        <w:numPr>
          <w:ilvl w:val="0"/>
          <w:numId w:val="9"/>
        </w:numPr>
      </w:pPr>
      <w:r>
        <w:rPr>
          <w:b/>
        </w:rPr>
        <w:t>Encouraging Private Renewable Energy Adoption:</w:t>
      </w:r>
      <w:r>
        <w:rPr>
          <w:b/>
        </w:rPr>
        <w:br/>
      </w:r>
    </w:p>
    <w:p w14:paraId="0000000F" w14:textId="77777777" w:rsidR="00D15D8E" w:rsidRDefault="00000000">
      <w:pPr>
        <w:numPr>
          <w:ilvl w:val="1"/>
          <w:numId w:val="9"/>
        </w:numPr>
      </w:pPr>
      <w:r>
        <w:t>While LNG will provide Bermuda’s base-load energy, renewable energy sources such as solar and wind will continue to play a role in private and decentralized energy generation.</w:t>
      </w:r>
    </w:p>
    <w:p w14:paraId="00000010" w14:textId="77777777" w:rsidR="00D15D8E" w:rsidRDefault="00000000">
      <w:pPr>
        <w:numPr>
          <w:ilvl w:val="1"/>
          <w:numId w:val="9"/>
        </w:numPr>
      </w:pPr>
      <w:r>
        <w:t>Encourage private sector investment in renewable energy through streamlined regulatory processes and technical assistance.</w:t>
      </w:r>
    </w:p>
    <w:p w14:paraId="00000011" w14:textId="77777777" w:rsidR="00D15D8E" w:rsidRDefault="00000000">
      <w:pPr>
        <w:numPr>
          <w:ilvl w:val="1"/>
          <w:numId w:val="9"/>
        </w:numPr>
        <w:spacing w:after="240"/>
      </w:pPr>
      <w:r>
        <w:t>Promote energy efficiency measures to reduce overall energy consumption and reliance on fossil fuels.</w:t>
      </w:r>
    </w:p>
    <w:p w14:paraId="00000012" w14:textId="77777777" w:rsidR="00D15D8E" w:rsidRDefault="00000000">
      <w:pPr>
        <w:spacing w:before="240" w:after="240"/>
      </w:pPr>
      <w:r>
        <w:pict w14:anchorId="3D78071C">
          <v:rect id="_x0000_i1026" style="width:0;height:1.5pt" o:hralign="center" o:hrstd="t" o:hr="t" fillcolor="#a0a0a0" stroked="f"/>
        </w:pict>
      </w:r>
    </w:p>
    <w:p w14:paraId="00000013" w14:textId="77777777" w:rsidR="00D15D8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ni8ac0vjxqxj" w:colFirst="0" w:colLast="0"/>
      <w:bookmarkEnd w:id="2"/>
      <w:r>
        <w:rPr>
          <w:b/>
          <w:color w:val="000000"/>
          <w:sz w:val="26"/>
          <w:szCs w:val="26"/>
        </w:rPr>
        <w:t>Environmental Protection Policy</w:t>
      </w:r>
    </w:p>
    <w:p w14:paraId="00000014" w14:textId="77777777" w:rsidR="00D15D8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d2fg4voc9sgt" w:colFirst="0" w:colLast="0"/>
      <w:bookmarkEnd w:id="3"/>
      <w:r>
        <w:rPr>
          <w:b/>
          <w:color w:val="000000"/>
          <w:sz w:val="22"/>
          <w:szCs w:val="22"/>
        </w:rPr>
        <w:t>1. Waste Management</w:t>
      </w:r>
    </w:p>
    <w:p w14:paraId="00000015" w14:textId="77777777" w:rsidR="00D15D8E" w:rsidRDefault="00000000">
      <w:pPr>
        <w:spacing w:before="240" w:after="240"/>
        <w:rPr>
          <w:b/>
        </w:rPr>
      </w:pPr>
      <w:r>
        <w:rPr>
          <w:b/>
        </w:rPr>
        <w:t>Objectives:</w:t>
      </w:r>
    </w:p>
    <w:p w14:paraId="00000016" w14:textId="77777777" w:rsidR="00D15D8E" w:rsidRDefault="00000000">
      <w:pPr>
        <w:numPr>
          <w:ilvl w:val="0"/>
          <w:numId w:val="1"/>
        </w:numPr>
        <w:spacing w:before="240"/>
      </w:pPr>
      <w:r>
        <w:t>Implement a streamlined waste separation program to enhance recycling and optimize the Tynes Bay Waste-to-Energy Facility.</w:t>
      </w:r>
    </w:p>
    <w:p w14:paraId="00000017" w14:textId="77777777" w:rsidR="00D15D8E" w:rsidRDefault="00000000">
      <w:pPr>
        <w:numPr>
          <w:ilvl w:val="0"/>
          <w:numId w:val="1"/>
        </w:numPr>
        <w:spacing w:after="240"/>
      </w:pPr>
      <w:r>
        <w:t>Increase waste collection frequency to improve cleanliness and efficiency.</w:t>
      </w:r>
    </w:p>
    <w:p w14:paraId="00000018" w14:textId="77777777" w:rsidR="00D15D8E" w:rsidRDefault="00000000">
      <w:pPr>
        <w:spacing w:before="240" w:after="240"/>
        <w:rPr>
          <w:b/>
        </w:rPr>
      </w:pPr>
      <w:r>
        <w:rPr>
          <w:b/>
        </w:rPr>
        <w:t>Simplified Waste Separation System:</w:t>
      </w:r>
    </w:p>
    <w:p w14:paraId="00000019" w14:textId="77777777" w:rsidR="00D15D8E" w:rsidRDefault="00000000">
      <w:pPr>
        <w:numPr>
          <w:ilvl w:val="0"/>
          <w:numId w:val="6"/>
        </w:numPr>
        <w:spacing w:before="240"/>
      </w:pPr>
      <w:r>
        <w:rPr>
          <w:b/>
        </w:rPr>
        <w:t>Mandatory Separation for Tin, Aluminum, and Glass (TAG):</w:t>
      </w:r>
    </w:p>
    <w:p w14:paraId="0000001A" w14:textId="77777777" w:rsidR="00D15D8E" w:rsidRDefault="00000000">
      <w:pPr>
        <w:numPr>
          <w:ilvl w:val="1"/>
          <w:numId w:val="6"/>
        </w:numPr>
      </w:pPr>
      <w:r>
        <w:t>TAG items must always be separated from other waste.</w:t>
      </w:r>
    </w:p>
    <w:p w14:paraId="0000001B" w14:textId="77777777" w:rsidR="00D15D8E" w:rsidRDefault="00000000">
      <w:pPr>
        <w:numPr>
          <w:ilvl w:val="1"/>
          <w:numId w:val="6"/>
        </w:numPr>
      </w:pPr>
      <w:r>
        <w:t>Households, public entities, and businesses will adhere to mandatory separation guidelines.</w:t>
      </w:r>
    </w:p>
    <w:p w14:paraId="0000001C" w14:textId="77777777" w:rsidR="00D15D8E" w:rsidRDefault="00000000">
      <w:pPr>
        <w:numPr>
          <w:ilvl w:val="0"/>
          <w:numId w:val="6"/>
        </w:numPr>
      </w:pPr>
      <w:r>
        <w:rPr>
          <w:b/>
        </w:rPr>
        <w:t>Collection Schedule:</w:t>
      </w:r>
    </w:p>
    <w:p w14:paraId="0000001D" w14:textId="77777777" w:rsidR="00D15D8E" w:rsidRDefault="00000000">
      <w:pPr>
        <w:numPr>
          <w:ilvl w:val="1"/>
          <w:numId w:val="6"/>
        </w:numPr>
      </w:pPr>
      <w:r>
        <w:t>Residential TAG items collected weekly.</w:t>
      </w:r>
    </w:p>
    <w:p w14:paraId="0000001E" w14:textId="77777777" w:rsidR="00D15D8E" w:rsidRDefault="00000000">
      <w:pPr>
        <w:numPr>
          <w:ilvl w:val="1"/>
          <w:numId w:val="6"/>
        </w:numPr>
        <w:spacing w:after="240"/>
      </w:pPr>
      <w:r>
        <w:t>General waste collected twice per week.</w:t>
      </w:r>
    </w:p>
    <w:p w14:paraId="0000001F" w14:textId="77777777" w:rsidR="00D15D8E" w:rsidRDefault="00000000">
      <w:pPr>
        <w:spacing w:before="240" w:after="240"/>
        <w:rPr>
          <w:b/>
        </w:rPr>
      </w:pPr>
      <w:r>
        <w:rPr>
          <w:b/>
        </w:rPr>
        <w:t>Promoting Composting:</w:t>
      </w:r>
    </w:p>
    <w:p w14:paraId="00000020" w14:textId="77777777" w:rsidR="00D15D8E" w:rsidRDefault="00000000">
      <w:pPr>
        <w:numPr>
          <w:ilvl w:val="0"/>
          <w:numId w:val="3"/>
        </w:numPr>
        <w:spacing w:before="240" w:after="240"/>
      </w:pPr>
      <w:r>
        <w:t>Encourage composting initiatives using organic waste to support agriculture and improve soil quality. Local examples like Greg’s Food Forest highlight composting’s potential to reduce waste and enhance food security.</w:t>
      </w:r>
    </w:p>
    <w:p w14:paraId="00000021" w14:textId="77777777" w:rsidR="00D15D8E" w:rsidRDefault="00000000">
      <w:pPr>
        <w:spacing w:before="240" w:after="240"/>
        <w:rPr>
          <w:b/>
        </w:rPr>
      </w:pPr>
      <w:r>
        <w:rPr>
          <w:b/>
        </w:rPr>
        <w:t>Benefits:</w:t>
      </w:r>
    </w:p>
    <w:p w14:paraId="00000022" w14:textId="77777777" w:rsidR="00D15D8E" w:rsidRDefault="00000000">
      <w:pPr>
        <w:numPr>
          <w:ilvl w:val="0"/>
          <w:numId w:val="12"/>
        </w:numPr>
        <w:spacing w:before="240" w:after="240"/>
      </w:pPr>
      <w:r>
        <w:lastRenderedPageBreak/>
        <w:t>Prompt waste collection reduces illegal dumping, improves public health, and minimizes rodent populations.</w:t>
      </w:r>
    </w:p>
    <w:p w14:paraId="00000023" w14:textId="77777777" w:rsidR="00D15D8E" w:rsidRDefault="00000000">
      <w:pPr>
        <w:spacing w:before="240" w:after="240"/>
      </w:pPr>
      <w:r>
        <w:pict w14:anchorId="0AF8FF54">
          <v:rect id="_x0000_i1027" style="width:0;height:1.5pt" o:hralign="center" o:hrstd="t" o:hr="t" fillcolor="#a0a0a0" stroked="f"/>
        </w:pict>
      </w:r>
    </w:p>
    <w:p w14:paraId="00000024" w14:textId="77777777" w:rsidR="00D15D8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ykr9v11j84pb" w:colFirst="0" w:colLast="0"/>
      <w:bookmarkEnd w:id="4"/>
      <w:r>
        <w:rPr>
          <w:b/>
          <w:color w:val="000000"/>
          <w:sz w:val="26"/>
          <w:szCs w:val="26"/>
        </w:rPr>
        <w:t>Agricultural Development Policy</w:t>
      </w:r>
    </w:p>
    <w:p w14:paraId="00000025" w14:textId="77777777" w:rsidR="00D15D8E" w:rsidRDefault="00000000">
      <w:pPr>
        <w:spacing w:before="240" w:after="240"/>
        <w:rPr>
          <w:b/>
        </w:rPr>
      </w:pPr>
      <w:r>
        <w:rPr>
          <w:b/>
        </w:rPr>
        <w:t>Objectives:</w:t>
      </w:r>
    </w:p>
    <w:p w14:paraId="00000026" w14:textId="77777777" w:rsidR="00D15D8E" w:rsidRDefault="00000000">
      <w:pPr>
        <w:numPr>
          <w:ilvl w:val="0"/>
          <w:numId w:val="11"/>
        </w:numPr>
        <w:spacing w:before="240"/>
      </w:pPr>
      <w:r>
        <w:t>Utilize unused arable land for farming to reduce Bermuda’s reliance on imports and lower its carbon footprint.</w:t>
      </w:r>
    </w:p>
    <w:p w14:paraId="00000027" w14:textId="77777777" w:rsidR="00D15D8E" w:rsidRDefault="00000000">
      <w:pPr>
        <w:numPr>
          <w:ilvl w:val="0"/>
          <w:numId w:val="11"/>
        </w:numPr>
      </w:pPr>
      <w:r>
        <w:t>Offer longer leases on government farmland to incentivize agricultural investment.</w:t>
      </w:r>
    </w:p>
    <w:p w14:paraId="00000028" w14:textId="77777777" w:rsidR="00D15D8E" w:rsidRDefault="00000000">
      <w:pPr>
        <w:numPr>
          <w:ilvl w:val="0"/>
          <w:numId w:val="11"/>
        </w:numPr>
        <w:spacing w:after="240"/>
      </w:pPr>
      <w:r>
        <w:t>Permanently protect Agricultural Reserve land.</w:t>
      </w:r>
    </w:p>
    <w:p w14:paraId="00000029" w14:textId="77777777" w:rsidR="00D15D8E" w:rsidRDefault="00000000">
      <w:pPr>
        <w:spacing w:before="240" w:after="240"/>
        <w:rPr>
          <w:b/>
        </w:rPr>
      </w:pPr>
      <w:r>
        <w:rPr>
          <w:b/>
        </w:rPr>
        <w:t>Key Initiatives:</w:t>
      </w:r>
    </w:p>
    <w:p w14:paraId="0000002A" w14:textId="77777777" w:rsidR="00D15D8E" w:rsidRDefault="00000000">
      <w:pPr>
        <w:numPr>
          <w:ilvl w:val="0"/>
          <w:numId w:val="13"/>
        </w:numPr>
        <w:spacing w:before="240"/>
      </w:pPr>
      <w:r>
        <w:t>Transition to a model where the Bermuda Farmers Association self-regulates with support from the Department of Environment and Natural Resources, creating accountability and autonomy.</w:t>
      </w:r>
    </w:p>
    <w:p w14:paraId="0000002B" w14:textId="77777777" w:rsidR="00D15D8E" w:rsidRDefault="00000000">
      <w:pPr>
        <w:numPr>
          <w:ilvl w:val="0"/>
          <w:numId w:val="13"/>
        </w:numPr>
      </w:pPr>
      <w:r>
        <w:t>Enhance food security by:</w:t>
      </w:r>
    </w:p>
    <w:p w14:paraId="0000002C" w14:textId="77777777" w:rsidR="00D15D8E" w:rsidRDefault="00000000">
      <w:pPr>
        <w:numPr>
          <w:ilvl w:val="1"/>
          <w:numId w:val="13"/>
        </w:numPr>
      </w:pPr>
      <w:r>
        <w:t>Incorporating edible plants on public land for the common good.</w:t>
      </w:r>
    </w:p>
    <w:p w14:paraId="0000002D" w14:textId="77777777" w:rsidR="00D15D8E" w:rsidRDefault="00000000">
      <w:pPr>
        <w:numPr>
          <w:ilvl w:val="1"/>
          <w:numId w:val="13"/>
        </w:numPr>
        <w:spacing w:after="240"/>
      </w:pPr>
      <w:r>
        <w:t xml:space="preserve">Leveraging facilities like </w:t>
      </w:r>
      <w:proofErr w:type="spellStart"/>
      <w:r>
        <w:t>Tulo</w:t>
      </w:r>
      <w:proofErr w:type="spellEnd"/>
      <w:r>
        <w:t xml:space="preserve"> Valley Plant Nursery to increase food production and donate produce and starter seedlings to seniors.</w:t>
      </w:r>
    </w:p>
    <w:p w14:paraId="0000002E" w14:textId="77777777" w:rsidR="00D15D8E" w:rsidRDefault="00000000">
      <w:pPr>
        <w:spacing w:before="240" w:after="240"/>
      </w:pPr>
      <w:r>
        <w:pict w14:anchorId="7CB31D94">
          <v:rect id="_x0000_i1028" style="width:0;height:1.5pt" o:hralign="center" o:hrstd="t" o:hr="t" fillcolor="#a0a0a0" stroked="f"/>
        </w:pict>
      </w:r>
    </w:p>
    <w:p w14:paraId="0000002F" w14:textId="77777777" w:rsidR="00D15D8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7tbrun1f0rhi" w:colFirst="0" w:colLast="0"/>
      <w:bookmarkEnd w:id="5"/>
      <w:r>
        <w:rPr>
          <w:b/>
          <w:color w:val="000000"/>
          <w:sz w:val="26"/>
          <w:szCs w:val="26"/>
        </w:rPr>
        <w:t>Ecological Protection Policy</w:t>
      </w:r>
    </w:p>
    <w:p w14:paraId="00000030" w14:textId="77777777" w:rsidR="00D15D8E" w:rsidRDefault="00000000">
      <w:pPr>
        <w:numPr>
          <w:ilvl w:val="0"/>
          <w:numId w:val="10"/>
        </w:numPr>
        <w:spacing w:before="240"/>
      </w:pPr>
      <w:r>
        <w:rPr>
          <w:b/>
        </w:rPr>
        <w:t>Mangroves and Coastal Protection:</w:t>
      </w:r>
      <w:r>
        <w:rPr>
          <w:b/>
        </w:rPr>
        <w:br/>
      </w:r>
    </w:p>
    <w:p w14:paraId="00000031" w14:textId="77777777" w:rsidR="00D15D8E" w:rsidRDefault="00000000">
      <w:pPr>
        <w:numPr>
          <w:ilvl w:val="1"/>
          <w:numId w:val="10"/>
        </w:numPr>
      </w:pPr>
      <w:r>
        <w:t>Launch a national program to plant mangroves along vulnerable coastlines to prevent erosion and support carbon sequestration.</w:t>
      </w:r>
    </w:p>
    <w:p w14:paraId="00000032" w14:textId="77777777" w:rsidR="00D15D8E" w:rsidRDefault="00000000">
      <w:pPr>
        <w:numPr>
          <w:ilvl w:val="0"/>
          <w:numId w:val="10"/>
        </w:numPr>
      </w:pPr>
      <w:r>
        <w:rPr>
          <w:b/>
        </w:rPr>
        <w:t>Biodiversity and Habitat Restoration:</w:t>
      </w:r>
      <w:r>
        <w:rPr>
          <w:b/>
        </w:rPr>
        <w:br/>
      </w:r>
    </w:p>
    <w:p w14:paraId="00000033" w14:textId="77777777" w:rsidR="00D15D8E" w:rsidRDefault="00000000">
      <w:pPr>
        <w:numPr>
          <w:ilvl w:val="1"/>
          <w:numId w:val="10"/>
        </w:numPr>
        <w:spacing w:after="240"/>
      </w:pPr>
      <w:r>
        <w:t>Support sustainable management of Bermuda’s unique ecosystems to protect flora and fauna.</w:t>
      </w:r>
    </w:p>
    <w:p w14:paraId="00000034" w14:textId="77777777" w:rsidR="00D15D8E" w:rsidRDefault="00000000">
      <w:pPr>
        <w:spacing w:before="240" w:after="240"/>
      </w:pPr>
      <w:r>
        <w:pict w14:anchorId="21E3D5A1">
          <v:rect id="_x0000_i1029" style="width:0;height:1.5pt" o:hralign="center" o:hrstd="t" o:hr="t" fillcolor="#a0a0a0" stroked="f"/>
        </w:pict>
      </w:r>
    </w:p>
    <w:p w14:paraId="00000035" w14:textId="77777777" w:rsidR="00D15D8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amjt957seqev" w:colFirst="0" w:colLast="0"/>
      <w:bookmarkEnd w:id="6"/>
      <w:r>
        <w:rPr>
          <w:b/>
          <w:color w:val="000000"/>
          <w:sz w:val="26"/>
          <w:szCs w:val="26"/>
        </w:rPr>
        <w:t>Lithium Battery Disposal Policy</w:t>
      </w:r>
    </w:p>
    <w:p w14:paraId="00000036" w14:textId="77777777" w:rsidR="00D15D8E" w:rsidRDefault="00000000">
      <w:pPr>
        <w:spacing w:before="240" w:after="240"/>
        <w:rPr>
          <w:b/>
        </w:rPr>
      </w:pPr>
      <w:r>
        <w:rPr>
          <w:b/>
        </w:rPr>
        <w:t>Plan:</w:t>
      </w:r>
    </w:p>
    <w:p w14:paraId="00000037" w14:textId="77777777" w:rsidR="00D15D8E" w:rsidRDefault="00000000">
      <w:pPr>
        <w:numPr>
          <w:ilvl w:val="0"/>
          <w:numId w:val="4"/>
        </w:numPr>
        <w:spacing w:before="240"/>
      </w:pPr>
      <w:r>
        <w:t>Establish dedicated facilities for lithium-ion battery disposal to prevent improper waste handling at the airport dump.</w:t>
      </w:r>
    </w:p>
    <w:p w14:paraId="00000038" w14:textId="77777777" w:rsidR="00D15D8E" w:rsidRDefault="00000000">
      <w:pPr>
        <w:numPr>
          <w:ilvl w:val="0"/>
          <w:numId w:val="4"/>
        </w:numPr>
        <w:spacing w:after="240"/>
      </w:pPr>
      <w:r>
        <w:lastRenderedPageBreak/>
        <w:t>Investigate opportunities for recycling or repurposing used lithium-ion batteries.</w:t>
      </w:r>
    </w:p>
    <w:p w14:paraId="00000039" w14:textId="77777777" w:rsidR="00D15D8E" w:rsidRDefault="00000000">
      <w:pPr>
        <w:spacing w:before="240" w:after="240"/>
      </w:pPr>
      <w:r>
        <w:pict w14:anchorId="2AE3DA98">
          <v:rect id="_x0000_i1030" style="width:0;height:1.5pt" o:hralign="center" o:hrstd="t" o:hr="t" fillcolor="#a0a0a0" stroked="f"/>
        </w:pict>
      </w:r>
    </w:p>
    <w:p w14:paraId="0000003A" w14:textId="77777777" w:rsidR="00D15D8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as97ynqciqpx" w:colFirst="0" w:colLast="0"/>
      <w:bookmarkEnd w:id="7"/>
      <w:r>
        <w:rPr>
          <w:b/>
          <w:color w:val="000000"/>
          <w:sz w:val="26"/>
          <w:szCs w:val="26"/>
        </w:rPr>
        <w:t>Transportation and Mobility Policy</w:t>
      </w:r>
    </w:p>
    <w:p w14:paraId="0000003B" w14:textId="77777777" w:rsidR="00D15D8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8" w:name="_s8y5d72wouuj" w:colFirst="0" w:colLast="0"/>
      <w:bookmarkEnd w:id="8"/>
      <w:r>
        <w:rPr>
          <w:b/>
          <w:color w:val="000000"/>
          <w:sz w:val="22"/>
          <w:szCs w:val="22"/>
        </w:rPr>
        <w:t>Vehicle Policy Adjustments:</w:t>
      </w:r>
    </w:p>
    <w:p w14:paraId="0000003C" w14:textId="77777777" w:rsidR="00D15D8E" w:rsidRDefault="00000000">
      <w:pPr>
        <w:numPr>
          <w:ilvl w:val="0"/>
          <w:numId w:val="7"/>
        </w:numPr>
        <w:spacing w:before="240" w:after="240"/>
      </w:pPr>
      <w:r>
        <w:t>Allow households to own a second vehicle if it is over 20 years old or an electric vehicle, reducing wasteful scrappage practices.</w:t>
      </w:r>
    </w:p>
    <w:p w14:paraId="0000003D" w14:textId="77777777" w:rsidR="00D15D8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9" w:name="_vxzp3io6n7p0" w:colFirst="0" w:colLast="0"/>
      <w:bookmarkEnd w:id="9"/>
      <w:r>
        <w:rPr>
          <w:b/>
          <w:color w:val="000000"/>
          <w:sz w:val="22"/>
          <w:szCs w:val="22"/>
        </w:rPr>
        <w:t>Encouraging Electric Vehicles (EVs):</w:t>
      </w:r>
    </w:p>
    <w:p w14:paraId="0000003E" w14:textId="77777777" w:rsidR="00D15D8E" w:rsidRDefault="00000000">
      <w:pPr>
        <w:numPr>
          <w:ilvl w:val="0"/>
          <w:numId w:val="5"/>
        </w:numPr>
        <w:spacing w:before="240" w:after="240"/>
      </w:pPr>
      <w:r>
        <w:t>Support voluntary EV adoption by enhancing charging infrastructure.</w:t>
      </w:r>
    </w:p>
    <w:p w14:paraId="0000003F" w14:textId="77777777" w:rsidR="00D15D8E" w:rsidRDefault="00000000">
      <w:pPr>
        <w:spacing w:before="240" w:after="240"/>
      </w:pPr>
      <w:r>
        <w:pict w14:anchorId="01746BE2">
          <v:rect id="_x0000_i1031" style="width:0;height:1.5pt" o:hralign="center" o:hrstd="t" o:hr="t" fillcolor="#a0a0a0" stroked="f"/>
        </w:pict>
      </w:r>
    </w:p>
    <w:p w14:paraId="00000040" w14:textId="77777777" w:rsidR="00D15D8E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xfqqv1ecoinl" w:colFirst="0" w:colLast="0"/>
      <w:bookmarkEnd w:id="10"/>
      <w:r>
        <w:rPr>
          <w:b/>
          <w:color w:val="000000"/>
          <w:sz w:val="26"/>
          <w:szCs w:val="26"/>
        </w:rPr>
        <w:t>Benefits to People and the Environment</w:t>
      </w:r>
    </w:p>
    <w:p w14:paraId="00000041" w14:textId="77777777" w:rsidR="00D15D8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1" w:name="_a08j0uyg7ukx" w:colFirst="0" w:colLast="0"/>
      <w:bookmarkEnd w:id="11"/>
      <w:r>
        <w:rPr>
          <w:b/>
          <w:color w:val="000000"/>
          <w:sz w:val="22"/>
          <w:szCs w:val="22"/>
        </w:rPr>
        <w:t>For People:</w:t>
      </w:r>
    </w:p>
    <w:p w14:paraId="00000042" w14:textId="77777777" w:rsidR="00D15D8E" w:rsidRDefault="00000000">
      <w:pPr>
        <w:numPr>
          <w:ilvl w:val="0"/>
          <w:numId w:val="2"/>
        </w:numPr>
        <w:spacing w:before="240"/>
      </w:pPr>
      <w:r>
        <w:t>Lower electricity costs and stable pricing through LNG implementation.</w:t>
      </w:r>
    </w:p>
    <w:p w14:paraId="00000043" w14:textId="77777777" w:rsidR="00D15D8E" w:rsidRDefault="00000000">
      <w:pPr>
        <w:numPr>
          <w:ilvl w:val="0"/>
          <w:numId w:val="2"/>
        </w:numPr>
      </w:pPr>
      <w:r>
        <w:t>Improved air quality, reducing health risks for communities near BELCO’s North Power Station.</w:t>
      </w:r>
    </w:p>
    <w:p w14:paraId="00000044" w14:textId="77777777" w:rsidR="00D15D8E" w:rsidRDefault="00000000">
      <w:pPr>
        <w:numPr>
          <w:ilvl w:val="0"/>
          <w:numId w:val="2"/>
        </w:numPr>
      </w:pPr>
      <w:r>
        <w:t>Cleaner neighborhoods with enhanced waste collection services and reduced rodent populations.</w:t>
      </w:r>
    </w:p>
    <w:p w14:paraId="00000045" w14:textId="77777777" w:rsidR="00D15D8E" w:rsidRDefault="00000000">
      <w:pPr>
        <w:numPr>
          <w:ilvl w:val="0"/>
          <w:numId w:val="2"/>
        </w:numPr>
      </w:pPr>
      <w:r>
        <w:t>Greater access to locally grown food, improving food security and affordability.</w:t>
      </w:r>
    </w:p>
    <w:p w14:paraId="00000046" w14:textId="77777777" w:rsidR="00D15D8E" w:rsidRDefault="00000000">
      <w:pPr>
        <w:numPr>
          <w:ilvl w:val="0"/>
          <w:numId w:val="2"/>
        </w:numPr>
        <w:spacing w:after="240"/>
      </w:pPr>
      <w:r>
        <w:t>Greater energy independence for homeowners and businesses through increased adoption of private renewable energy.</w:t>
      </w:r>
    </w:p>
    <w:p w14:paraId="00000047" w14:textId="77777777" w:rsidR="00D15D8E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2" w:name="_839ajjoe6hna" w:colFirst="0" w:colLast="0"/>
      <w:bookmarkEnd w:id="12"/>
      <w:r>
        <w:rPr>
          <w:b/>
          <w:color w:val="000000"/>
          <w:sz w:val="22"/>
          <w:szCs w:val="22"/>
        </w:rPr>
        <w:t>For the Environment:</w:t>
      </w:r>
    </w:p>
    <w:p w14:paraId="00000048" w14:textId="77777777" w:rsidR="00D15D8E" w:rsidRDefault="00000000">
      <w:pPr>
        <w:numPr>
          <w:ilvl w:val="0"/>
          <w:numId w:val="8"/>
        </w:numPr>
        <w:spacing w:before="240"/>
      </w:pPr>
      <w:r>
        <w:t>Reduced emissions and soot through LNG, enhancing environmental quality.</w:t>
      </w:r>
    </w:p>
    <w:p w14:paraId="00000049" w14:textId="77777777" w:rsidR="00D15D8E" w:rsidRDefault="00000000">
      <w:pPr>
        <w:numPr>
          <w:ilvl w:val="0"/>
          <w:numId w:val="8"/>
        </w:numPr>
      </w:pPr>
      <w:r>
        <w:t>Preservation of Agricultural Reserve land and promotion of sustainable farming.</w:t>
      </w:r>
    </w:p>
    <w:p w14:paraId="0000004A" w14:textId="77777777" w:rsidR="00D15D8E" w:rsidRDefault="00000000">
      <w:pPr>
        <w:numPr>
          <w:ilvl w:val="0"/>
          <w:numId w:val="8"/>
        </w:numPr>
      </w:pPr>
      <w:r>
        <w:t>Expansion of mangrove ecosystems for coastal protection and carbon sequestration.</w:t>
      </w:r>
    </w:p>
    <w:p w14:paraId="0000004B" w14:textId="77777777" w:rsidR="00D15D8E" w:rsidRDefault="00000000">
      <w:pPr>
        <w:numPr>
          <w:ilvl w:val="0"/>
          <w:numId w:val="8"/>
        </w:numPr>
      </w:pPr>
      <w:r>
        <w:t>Better waste management through recycling, composting, and reduced landfill dependency.</w:t>
      </w:r>
    </w:p>
    <w:p w14:paraId="0000004C" w14:textId="77777777" w:rsidR="00D15D8E" w:rsidRDefault="00000000">
      <w:pPr>
        <w:numPr>
          <w:ilvl w:val="0"/>
          <w:numId w:val="8"/>
        </w:numPr>
        <w:spacing w:after="240"/>
      </w:pPr>
      <w:r>
        <w:t>Increased private adoption of renewables reduces the demand for fossil fuel-based power generation.</w:t>
      </w:r>
    </w:p>
    <w:p w14:paraId="0000004D" w14:textId="77777777" w:rsidR="00D15D8E" w:rsidRDefault="00000000">
      <w:pPr>
        <w:spacing w:before="240" w:after="240"/>
      </w:pPr>
      <w:r>
        <w:pict w14:anchorId="0EFFB554">
          <v:rect id="_x0000_i1032" style="width:0;height:1.5pt" o:hralign="center" o:hrstd="t" o:hr="t" fillcolor="#a0a0a0" stroked="f"/>
        </w:pict>
      </w:r>
    </w:p>
    <w:p w14:paraId="0000004E" w14:textId="77777777" w:rsidR="00D15D8E" w:rsidRDefault="00000000">
      <w:pPr>
        <w:spacing w:before="240" w:after="240"/>
      </w:pPr>
      <w:r>
        <w:rPr>
          <w:b/>
        </w:rPr>
        <w:t>Conclusion</w:t>
      </w:r>
      <w:r>
        <w:rPr>
          <w:b/>
        </w:rPr>
        <w:br/>
      </w:r>
      <w:r>
        <w:t xml:space="preserve"> The Free Democratic Movement is dedicated to balancing environmental stewardship with </w:t>
      </w:r>
      <w:r>
        <w:lastRenderedPageBreak/>
        <w:t>economic pragmatism. By addressing Bermuda’s energy and ecological challenges, we aim to build a sustainable future that benefits all Bermudians.</w:t>
      </w:r>
    </w:p>
    <w:p w14:paraId="0000004F" w14:textId="77777777" w:rsidR="00D15D8E" w:rsidRDefault="00D15D8E">
      <w:pPr>
        <w:spacing w:before="240" w:after="240"/>
        <w:rPr>
          <w:b/>
        </w:rPr>
      </w:pPr>
    </w:p>
    <w:p w14:paraId="00000050" w14:textId="77777777" w:rsidR="00D15D8E" w:rsidRDefault="00D15D8E"/>
    <w:sectPr w:rsidR="00D15D8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2C7F9" w14:textId="77777777" w:rsidR="00644EAC" w:rsidRDefault="00644EAC" w:rsidP="0094145A">
      <w:pPr>
        <w:spacing w:line="240" w:lineRule="auto"/>
      </w:pPr>
      <w:r>
        <w:separator/>
      </w:r>
    </w:p>
  </w:endnote>
  <w:endnote w:type="continuationSeparator" w:id="0">
    <w:p w14:paraId="0587CA00" w14:textId="77777777" w:rsidR="00644EAC" w:rsidRDefault="00644EAC" w:rsidP="00941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2CCC" w14:textId="77777777" w:rsidR="00644EAC" w:rsidRDefault="00644EAC" w:rsidP="0094145A">
      <w:pPr>
        <w:spacing w:line="240" w:lineRule="auto"/>
      </w:pPr>
      <w:r>
        <w:separator/>
      </w:r>
    </w:p>
  </w:footnote>
  <w:footnote w:type="continuationSeparator" w:id="0">
    <w:p w14:paraId="43E72048" w14:textId="77777777" w:rsidR="00644EAC" w:rsidRDefault="00644EAC" w:rsidP="00941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15C0" w14:textId="4068BB28" w:rsidR="0094145A" w:rsidRDefault="0094145A">
    <w:pPr>
      <w:pStyle w:val="Header"/>
    </w:pPr>
    <w:r>
      <w:rPr>
        <w:noProof/>
      </w:rPr>
      <w:drawing>
        <wp:inline distT="0" distB="0" distL="0" distR="0" wp14:anchorId="0CE0BC96" wp14:editId="24AF6BCF">
          <wp:extent cx="364833" cy="622300"/>
          <wp:effectExtent l="0" t="0" r="0" b="6350"/>
          <wp:docPr id="1842768017" name="Picture 1" descr="A yellow tre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768017" name="Picture 1" descr="A yellow tree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445" cy="655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17C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FF4BD1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E3FBB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4C24AA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A258C4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CB6EAC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DF7B53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621429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0D0EB8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3540C8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3A22FF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2A6D02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E25BBA"/>
    <w:multiLevelType w:val="multilevel"/>
    <w:tmpl w:val="27C4E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5705376">
    <w:abstractNumId w:val="0"/>
  </w:num>
  <w:num w:numId="2" w16cid:durableId="1486970129">
    <w:abstractNumId w:val="2"/>
  </w:num>
  <w:num w:numId="3" w16cid:durableId="530991634">
    <w:abstractNumId w:val="5"/>
  </w:num>
  <w:num w:numId="4" w16cid:durableId="728308226">
    <w:abstractNumId w:val="6"/>
  </w:num>
  <w:num w:numId="5" w16cid:durableId="85269602">
    <w:abstractNumId w:val="1"/>
  </w:num>
  <w:num w:numId="6" w16cid:durableId="1878083290">
    <w:abstractNumId w:val="11"/>
  </w:num>
  <w:num w:numId="7" w16cid:durableId="939221716">
    <w:abstractNumId w:val="8"/>
  </w:num>
  <w:num w:numId="8" w16cid:durableId="1086226201">
    <w:abstractNumId w:val="12"/>
  </w:num>
  <w:num w:numId="9" w16cid:durableId="1926843503">
    <w:abstractNumId w:val="7"/>
  </w:num>
  <w:num w:numId="10" w16cid:durableId="1933858637">
    <w:abstractNumId w:val="10"/>
  </w:num>
  <w:num w:numId="11" w16cid:durableId="535050333">
    <w:abstractNumId w:val="3"/>
  </w:num>
  <w:num w:numId="12" w16cid:durableId="1914460665">
    <w:abstractNumId w:val="4"/>
  </w:num>
  <w:num w:numId="13" w16cid:durableId="651910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8E"/>
    <w:rsid w:val="00644EAC"/>
    <w:rsid w:val="0094145A"/>
    <w:rsid w:val="00A619E2"/>
    <w:rsid w:val="00D1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3A52"/>
  <w15:docId w15:val="{D6D912F9-DB7A-4717-AADB-9CC9D3DA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414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45A"/>
  </w:style>
  <w:style w:type="paragraph" w:styleId="Footer">
    <w:name w:val="footer"/>
    <w:basedOn w:val="Normal"/>
    <w:link w:val="FooterChar"/>
    <w:uiPriority w:val="99"/>
    <w:unhideWhenUsed/>
    <w:rsid w:val="009414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 dill</cp:lastModifiedBy>
  <cp:revision>2</cp:revision>
  <dcterms:created xsi:type="dcterms:W3CDTF">2025-01-30T14:29:00Z</dcterms:created>
  <dcterms:modified xsi:type="dcterms:W3CDTF">2025-01-30T14:29:00Z</dcterms:modified>
</cp:coreProperties>
</file>